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3CDA" w:rsidRDefault="00233CDA" w:rsidP="00C17BAF">
      <w:pPr>
        <w:jc w:val="both"/>
        <w:rPr>
          <w:b/>
          <w:lang w:val="ro-RO"/>
        </w:rPr>
      </w:pPr>
      <w:r w:rsidRPr="00233CDA">
        <w:rPr>
          <w:b/>
          <w:lang w:val="ro-RO"/>
        </w:rPr>
        <w:t>Unibuc anunță organizarea unei sesiuni speciale de admitere pentru olimpici și sportivi</w:t>
      </w:r>
    </w:p>
    <w:p w:rsidR="00233CDA" w:rsidRPr="00233CDA" w:rsidRDefault="00233CDA" w:rsidP="00C17BAF">
      <w:pPr>
        <w:jc w:val="both"/>
        <w:rPr>
          <w:b/>
          <w:lang w:val="ro-RO"/>
        </w:rPr>
      </w:pPr>
    </w:p>
    <w:p w:rsidR="00C17BAF" w:rsidRPr="00C17BAF" w:rsidRDefault="00C17BAF" w:rsidP="00C17BAF">
      <w:pPr>
        <w:jc w:val="both"/>
        <w:rPr>
          <w:b/>
          <w:lang w:val="ro-RO"/>
        </w:rPr>
      </w:pPr>
      <w:r w:rsidRPr="00C17BAF">
        <w:rPr>
          <w:b/>
          <w:lang w:val="ro-RO"/>
        </w:rPr>
        <w:t>Începând cu anul universitar 2023 – 2024, Universitatea din București va organiza o sesiune de admitere specială pentru olimpicii internaționali și sportivii medaliați la competiții europene, mondiale pentru sporturile olimpice și șah sau la jocurile olimpice și paralimpice, anterior organizării sesiunii de ad</w:t>
      </w:r>
      <w:r w:rsidRPr="00C17BAF">
        <w:rPr>
          <w:b/>
          <w:lang w:val="ro-RO"/>
        </w:rPr>
        <w:t xml:space="preserve">mitere pentru toți candidații. </w:t>
      </w:r>
    </w:p>
    <w:p w:rsidR="00C17BAF" w:rsidRPr="00C17BAF" w:rsidRDefault="00C17BAF" w:rsidP="00C17BAF">
      <w:pPr>
        <w:jc w:val="both"/>
        <w:rPr>
          <w:lang w:val="ro-RO"/>
        </w:rPr>
      </w:pPr>
      <w:r w:rsidRPr="00C17BAF">
        <w:rPr>
          <w:lang w:val="ro-RO"/>
        </w:rPr>
        <w:t>Anual, Universitatea din București scoate la concurs un număr de locuri cu bursă dedicate olimpicilor internaționali și sportivilor medaliați la competiții europene, mondiale pentru sporturile olimpice și șah sau la jo</w:t>
      </w:r>
      <w:r>
        <w:rPr>
          <w:lang w:val="ro-RO"/>
        </w:rPr>
        <w:t>curile olimpice și paralimpice.</w:t>
      </w:r>
    </w:p>
    <w:p w:rsidR="00C17BAF" w:rsidRPr="00C17BAF" w:rsidRDefault="00C17BAF" w:rsidP="00C17BAF">
      <w:pPr>
        <w:jc w:val="both"/>
        <w:rPr>
          <w:lang w:val="ro-RO"/>
        </w:rPr>
      </w:pPr>
      <w:r w:rsidRPr="00C17BAF">
        <w:rPr>
          <w:lang w:val="ro-RO"/>
        </w:rPr>
        <w:t xml:space="preserve">Aceștia se vor înscrie la nivel de universitate la adresa de e-mail </w:t>
      </w:r>
      <w:r w:rsidRPr="00C17BAF">
        <w:rPr>
          <w:b/>
          <w:lang w:val="ro-RO"/>
        </w:rPr>
        <w:t>admitere.olimpici@g.unibuc.ro</w:t>
      </w:r>
      <w:r w:rsidRPr="00C17BAF">
        <w:rPr>
          <w:lang w:val="ro-RO"/>
        </w:rPr>
        <w:t>, conform</w:t>
      </w:r>
      <w:r>
        <w:rPr>
          <w:lang w:val="ro-RO"/>
        </w:rPr>
        <w:t xml:space="preserve"> calendarului special stabilit.</w:t>
      </w:r>
    </w:p>
    <w:p w:rsidR="00C17BAF" w:rsidRPr="00C17BAF" w:rsidRDefault="00C17BAF" w:rsidP="00C17BAF">
      <w:pPr>
        <w:spacing w:after="0"/>
        <w:jc w:val="both"/>
        <w:rPr>
          <w:lang w:val="ro-RO"/>
        </w:rPr>
      </w:pPr>
      <w:r w:rsidRPr="00C17BAF">
        <w:rPr>
          <w:b/>
          <w:lang w:val="ro-RO"/>
        </w:rPr>
        <w:t xml:space="preserve">Calendarul admiterii </w:t>
      </w:r>
      <w:r w:rsidRPr="00C17BAF">
        <w:rPr>
          <w:b/>
          <w:lang w:val="ro-RO"/>
        </w:rPr>
        <w:t>pentru olimpici internaționali</w:t>
      </w:r>
      <w:r>
        <w:rPr>
          <w:lang w:val="ro-RO"/>
        </w:rPr>
        <w:t>:</w:t>
      </w:r>
    </w:p>
    <w:p w:rsidR="00C17BAF" w:rsidRPr="00C17BAF" w:rsidRDefault="00C17BAF" w:rsidP="00C17BAF">
      <w:pPr>
        <w:spacing w:after="0"/>
        <w:jc w:val="both"/>
        <w:rPr>
          <w:lang w:val="ro-RO"/>
        </w:rPr>
      </w:pPr>
      <w:r w:rsidRPr="00C17BAF">
        <w:rPr>
          <w:lang w:val="ro-RO"/>
        </w:rPr>
        <w:t>1-10 iulie – înscrierea candidaților;</w:t>
      </w:r>
    </w:p>
    <w:p w:rsidR="00C17BAF" w:rsidRPr="00C17BAF" w:rsidRDefault="00C17BAF" w:rsidP="00C17BAF">
      <w:pPr>
        <w:spacing w:after="0"/>
        <w:jc w:val="both"/>
        <w:rPr>
          <w:lang w:val="ro-RO"/>
        </w:rPr>
      </w:pPr>
      <w:r w:rsidRPr="00C17BAF">
        <w:rPr>
          <w:lang w:val="ro-RO"/>
        </w:rPr>
        <w:t>11 iulie – afișarea rezultatelor preliminare;</w:t>
      </w:r>
    </w:p>
    <w:p w:rsidR="00C17BAF" w:rsidRPr="00C17BAF" w:rsidRDefault="00C17BAF" w:rsidP="00C17BAF">
      <w:pPr>
        <w:spacing w:after="0"/>
        <w:jc w:val="both"/>
        <w:rPr>
          <w:lang w:val="ro-RO"/>
        </w:rPr>
      </w:pPr>
      <w:r w:rsidRPr="00C17BAF">
        <w:rPr>
          <w:lang w:val="ro-RO"/>
        </w:rPr>
        <w:t>11-12 iulie – depunerea contestațiilor;</w:t>
      </w:r>
    </w:p>
    <w:p w:rsidR="00C17BAF" w:rsidRPr="00C17BAF" w:rsidRDefault="00C17BAF" w:rsidP="00C17BAF">
      <w:pPr>
        <w:spacing w:after="0"/>
        <w:jc w:val="both"/>
        <w:rPr>
          <w:lang w:val="ro-RO"/>
        </w:rPr>
      </w:pPr>
      <w:r w:rsidRPr="00C17BAF">
        <w:rPr>
          <w:lang w:val="ro-RO"/>
        </w:rPr>
        <w:t>13 iulie – afișarea rezultatelor finale;</w:t>
      </w:r>
    </w:p>
    <w:p w:rsidR="00C17BAF" w:rsidRPr="00C17BAF" w:rsidRDefault="00C17BAF" w:rsidP="00C17BAF">
      <w:pPr>
        <w:jc w:val="both"/>
        <w:rPr>
          <w:lang w:val="ro-RO"/>
        </w:rPr>
      </w:pPr>
      <w:r w:rsidRPr="00C17BAF">
        <w:rPr>
          <w:lang w:val="ro-RO"/>
        </w:rPr>
        <w:t>13-16 iulie – conf</w:t>
      </w:r>
      <w:r>
        <w:rPr>
          <w:lang w:val="ro-RO"/>
        </w:rPr>
        <w:t>irmarea locurilor la facultăți.</w:t>
      </w:r>
    </w:p>
    <w:p w:rsidR="00C17BAF" w:rsidRPr="00C17BAF" w:rsidRDefault="00C17BAF" w:rsidP="00C17BAF">
      <w:pPr>
        <w:jc w:val="both"/>
        <w:rPr>
          <w:lang w:val="ro-RO"/>
        </w:rPr>
      </w:pPr>
      <w:r w:rsidRPr="00C17BAF">
        <w:rPr>
          <w:lang w:val="ro-RO"/>
        </w:rPr>
        <w:t>Actele necesare pentru înscriere sunt menționate la art. 9 din Metodologia de admitere la studii universitare de licență, la care se adaugă diplomă/document care să ateste locul</w:t>
      </w:r>
      <w:r>
        <w:rPr>
          <w:lang w:val="ro-RO"/>
        </w:rPr>
        <w:t xml:space="preserve"> ocupat la competiția sportivă.</w:t>
      </w:r>
    </w:p>
    <w:p w:rsidR="00C17BAF" w:rsidRPr="00C17BAF" w:rsidRDefault="00C17BAF" w:rsidP="00C17BAF">
      <w:pPr>
        <w:spacing w:after="0"/>
        <w:jc w:val="both"/>
        <w:rPr>
          <w:lang w:val="ro-RO"/>
        </w:rPr>
      </w:pPr>
      <w:r w:rsidRPr="00C17BAF">
        <w:rPr>
          <w:lang w:val="ro-RO"/>
        </w:rPr>
        <w:t>Clasamentul final se va realiza cu respectarea următoarelor c</w:t>
      </w:r>
      <w:r>
        <w:rPr>
          <w:lang w:val="ro-RO"/>
        </w:rPr>
        <w:t>riterii, în ordinea menționată:</w:t>
      </w:r>
    </w:p>
    <w:p w:rsidR="00C17BAF" w:rsidRPr="00C17BAF" w:rsidRDefault="00C17BAF" w:rsidP="00C17BAF">
      <w:pPr>
        <w:spacing w:after="0"/>
        <w:jc w:val="both"/>
        <w:rPr>
          <w:b/>
          <w:lang w:val="ro-RO"/>
        </w:rPr>
      </w:pPr>
      <w:r w:rsidRPr="00C17BAF">
        <w:rPr>
          <w:b/>
          <w:lang w:val="ro-RO"/>
        </w:rPr>
        <w:t>Criteriul I: Tipul medaliei obținute (aur, argint sau bro</w:t>
      </w:r>
      <w:r w:rsidRPr="00C17BAF">
        <w:rPr>
          <w:b/>
          <w:lang w:val="ro-RO"/>
        </w:rPr>
        <w:t>nz)</w:t>
      </w:r>
    </w:p>
    <w:p w:rsidR="00C17BAF" w:rsidRPr="00C17BAF" w:rsidRDefault="00C17BAF" w:rsidP="00C17BAF">
      <w:pPr>
        <w:spacing w:after="0"/>
        <w:jc w:val="both"/>
        <w:rPr>
          <w:b/>
          <w:lang w:val="ro-RO"/>
        </w:rPr>
      </w:pPr>
      <w:r w:rsidRPr="00C17BAF">
        <w:rPr>
          <w:b/>
          <w:lang w:val="ro-RO"/>
        </w:rPr>
        <w:t xml:space="preserve">Criteriul II: Numărul medaliilor obținute (de tipul </w:t>
      </w:r>
      <w:r w:rsidRPr="00C17BAF">
        <w:rPr>
          <w:b/>
          <w:lang w:val="ro-RO"/>
        </w:rPr>
        <w:t>celei declarate la Criteriul I)</w:t>
      </w:r>
    </w:p>
    <w:p w:rsidR="00C17BAF" w:rsidRPr="00C17BAF" w:rsidRDefault="00C17BAF" w:rsidP="00C17BAF">
      <w:pPr>
        <w:jc w:val="both"/>
        <w:rPr>
          <w:lang w:val="ro-RO"/>
        </w:rPr>
      </w:pPr>
      <w:r w:rsidRPr="00C17BAF">
        <w:rPr>
          <w:b/>
          <w:lang w:val="ro-RO"/>
        </w:rPr>
        <w:t>Criteriul III: M</w:t>
      </w:r>
      <w:r w:rsidRPr="00C17BAF">
        <w:rPr>
          <w:b/>
          <w:lang w:val="ro-RO"/>
        </w:rPr>
        <w:t>edia la examenul de bacalaureat</w:t>
      </w:r>
    </w:p>
    <w:p w:rsidR="00C17BAF" w:rsidRPr="00C17BAF" w:rsidRDefault="00C17BAF" w:rsidP="00C17BAF">
      <w:pPr>
        <w:jc w:val="both"/>
        <w:rPr>
          <w:lang w:val="ro-RO"/>
        </w:rPr>
      </w:pPr>
      <w:r w:rsidRPr="00C17BAF">
        <w:rPr>
          <w:lang w:val="ro-RO"/>
        </w:rPr>
        <w:t>Lista candidaților declarați admiși și opțiunea fiecăruia va fi transmisă facultăților. Candidații declarați admiși au obligația ca în termenul stabilit conform calendarului special să își confirme locul la facultatea pentru care a optat, prezentând la secretariatul acesteia do</w:t>
      </w:r>
      <w:r>
        <w:rPr>
          <w:lang w:val="ro-RO"/>
        </w:rPr>
        <w:t>cumentele necesare confirmării.</w:t>
      </w:r>
      <w:bookmarkStart w:id="0" w:name="_GoBack"/>
      <w:bookmarkEnd w:id="0"/>
    </w:p>
    <w:p w:rsidR="00C17BAF" w:rsidRPr="00C17BAF" w:rsidRDefault="00C17BAF" w:rsidP="00C17BAF">
      <w:pPr>
        <w:jc w:val="both"/>
        <w:rPr>
          <w:lang w:val="ro-RO"/>
        </w:rPr>
      </w:pPr>
      <w:r w:rsidRPr="00C17BAF">
        <w:rPr>
          <w:lang w:val="ro-RO"/>
        </w:rPr>
        <w:t>Candidații declarați respinși în cadrul acestei sesiuni se pot înscrie în sesiunile din iulie sau septembrie organizate, conform prevederilor specifice fiecărei facultăți (platf</w:t>
      </w:r>
      <w:r>
        <w:rPr>
          <w:lang w:val="ro-RO"/>
        </w:rPr>
        <w:t>orma de admitere a facultății).</w:t>
      </w:r>
    </w:p>
    <w:p w:rsidR="00EF0BD1" w:rsidRPr="00233CDA" w:rsidRDefault="00C17BAF" w:rsidP="00C17BAF">
      <w:pPr>
        <w:jc w:val="both"/>
        <w:rPr>
          <w:lang w:val="ro-RO"/>
        </w:rPr>
      </w:pPr>
      <w:r w:rsidRPr="00C17BAF">
        <w:rPr>
          <w:lang w:val="ro-RO"/>
        </w:rPr>
        <w:t>După confirmare, facultățile se vor asigura că numărul de locuri scoase la concurs se va face cu respectarea capacității de școlarizare stabilită prin HG, astfel că numărul de locuri pentru admitere, la taxă, se va diminua cu numărul candidaților confirmați din sesiunea specială.</w:t>
      </w:r>
    </w:p>
    <w:sectPr w:rsidR="00EF0BD1" w:rsidRPr="00233C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3CDA"/>
    <w:rsid w:val="00233CDA"/>
    <w:rsid w:val="00505970"/>
    <w:rsid w:val="00834F06"/>
    <w:rsid w:val="00C17B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100965">
      <w:bodyDiv w:val="1"/>
      <w:marLeft w:val="0"/>
      <w:marRight w:val="0"/>
      <w:marTop w:val="0"/>
      <w:marBottom w:val="0"/>
      <w:divBdr>
        <w:top w:val="none" w:sz="0" w:space="0" w:color="auto"/>
        <w:left w:val="none" w:sz="0" w:space="0" w:color="auto"/>
        <w:bottom w:val="none" w:sz="0" w:space="0" w:color="auto"/>
        <w:right w:val="none" w:sz="0" w:space="0" w:color="auto"/>
      </w:divBdr>
    </w:div>
    <w:div w:id="797145767">
      <w:bodyDiv w:val="1"/>
      <w:marLeft w:val="0"/>
      <w:marRight w:val="0"/>
      <w:marTop w:val="0"/>
      <w:marBottom w:val="0"/>
      <w:divBdr>
        <w:top w:val="none" w:sz="0" w:space="0" w:color="auto"/>
        <w:left w:val="none" w:sz="0" w:space="0" w:color="auto"/>
        <w:bottom w:val="none" w:sz="0" w:space="0" w:color="auto"/>
        <w:right w:val="none" w:sz="0" w:space="0" w:color="auto"/>
      </w:divBdr>
      <w:divsChild>
        <w:div w:id="470564607">
          <w:marLeft w:val="0"/>
          <w:marRight w:val="0"/>
          <w:marTop w:val="0"/>
          <w:marBottom w:val="300"/>
          <w:divBdr>
            <w:top w:val="none" w:sz="0" w:space="0" w:color="auto"/>
            <w:left w:val="none" w:sz="0" w:space="0" w:color="auto"/>
            <w:bottom w:val="none" w:sz="0" w:space="0" w:color="auto"/>
            <w:right w:val="none" w:sz="0" w:space="0" w:color="auto"/>
          </w:divBdr>
          <w:divsChild>
            <w:div w:id="247807231">
              <w:marLeft w:val="0"/>
              <w:marRight w:val="0"/>
              <w:marTop w:val="0"/>
              <w:marBottom w:val="0"/>
              <w:divBdr>
                <w:top w:val="none" w:sz="0" w:space="0" w:color="auto"/>
                <w:left w:val="none" w:sz="0" w:space="0" w:color="auto"/>
                <w:bottom w:val="none" w:sz="0" w:space="0" w:color="auto"/>
                <w:right w:val="none" w:sz="0" w:space="0" w:color="auto"/>
              </w:divBdr>
            </w:div>
          </w:divsChild>
        </w:div>
        <w:div w:id="1596553095">
          <w:marLeft w:val="0"/>
          <w:marRight w:val="0"/>
          <w:marTop w:val="0"/>
          <w:marBottom w:val="0"/>
          <w:divBdr>
            <w:top w:val="none" w:sz="0" w:space="0" w:color="auto"/>
            <w:left w:val="none" w:sz="0" w:space="0" w:color="auto"/>
            <w:bottom w:val="none" w:sz="0" w:space="0" w:color="auto"/>
            <w:right w:val="none" w:sz="0" w:space="0" w:color="auto"/>
          </w:divBdr>
        </w:div>
      </w:divsChild>
    </w:div>
    <w:div w:id="1666125072">
      <w:bodyDiv w:val="1"/>
      <w:marLeft w:val="0"/>
      <w:marRight w:val="0"/>
      <w:marTop w:val="0"/>
      <w:marBottom w:val="0"/>
      <w:divBdr>
        <w:top w:val="none" w:sz="0" w:space="0" w:color="auto"/>
        <w:left w:val="none" w:sz="0" w:space="0" w:color="auto"/>
        <w:bottom w:val="none" w:sz="0" w:space="0" w:color="auto"/>
        <w:right w:val="none" w:sz="0" w:space="0" w:color="auto"/>
      </w:divBdr>
      <w:divsChild>
        <w:div w:id="1689870165">
          <w:marLeft w:val="0"/>
          <w:marRight w:val="0"/>
          <w:marTop w:val="0"/>
          <w:marBottom w:val="300"/>
          <w:divBdr>
            <w:top w:val="none" w:sz="0" w:space="0" w:color="auto"/>
            <w:left w:val="none" w:sz="0" w:space="0" w:color="auto"/>
            <w:bottom w:val="none" w:sz="0" w:space="0" w:color="auto"/>
            <w:right w:val="none" w:sz="0" w:space="0" w:color="auto"/>
          </w:divBdr>
          <w:divsChild>
            <w:div w:id="1084104432">
              <w:marLeft w:val="0"/>
              <w:marRight w:val="0"/>
              <w:marTop w:val="0"/>
              <w:marBottom w:val="0"/>
              <w:divBdr>
                <w:top w:val="none" w:sz="0" w:space="0" w:color="auto"/>
                <w:left w:val="none" w:sz="0" w:space="0" w:color="auto"/>
                <w:bottom w:val="none" w:sz="0" w:space="0" w:color="auto"/>
                <w:right w:val="none" w:sz="0" w:space="0" w:color="auto"/>
              </w:divBdr>
            </w:div>
          </w:divsChild>
        </w:div>
        <w:div w:id="5617157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B0B720-A4FD-427A-A2C6-5368B559C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355</Words>
  <Characters>2028</Characters>
  <Application>Microsoft Office Word</Application>
  <DocSecurity>0</DocSecurity>
  <Lines>16</Lines>
  <Paragraphs>4</Paragraphs>
  <ScaleCrop>false</ScaleCrop>
  <Company/>
  <LinksUpToDate>false</LinksUpToDate>
  <CharactersWithSpaces>2379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Ionelia Olteanu</dc:creator>
  <cp:lastModifiedBy>Ionelia Olteanu</cp:lastModifiedBy>
  <cp:revision>2</cp:revision>
  <dcterms:created xsi:type="dcterms:W3CDTF">2023-06-08T12:02:00Z</dcterms:created>
  <dcterms:modified xsi:type="dcterms:W3CDTF">2023-06-21T11:37:00Z</dcterms:modified>
</cp:coreProperties>
</file>