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432" w:lineRule="auto"/>
        <w:jc w:val="center"/>
        <w:rPr>
          <w:rFonts w:ascii="Times New Roman" w:cs="Times New Roman" w:eastAsia="Times New Roman" w:hAnsi="Times New Roman"/>
          <w:b w:val="1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FAA invită viitorii studenți să învețe totul despre afaceri, promovări online și offline, la specializarea „Marketing”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432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Facultatea de Administrație și Afaceri a Universității din București îi așteaptă pe elevii care au susținut examenul de bacalaureat să se înscrie la programul de licență în domeniul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222222"/>
          <w:sz w:val="24"/>
          <w:szCs w:val="24"/>
          <w:rtl w:val="0"/>
        </w:rPr>
        <w:t xml:space="preserve">marketingului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, unde vor avea ocazia să învețe lucruri noi despre promovarea, vânzarea de produse, reclama, precum și alegerea corectă a grupului țintă!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432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Acest program de licență, care funcționează din 2009, pregăteşte studenţi ce vor dobândi capacitate de analiză, sinteză, monitorizare şi gestionare a portofoliului de produse pe clienţi, abilităţi de culegere, prelucrare şi analiză preliminară a informaţiilor de marketing, identificarea activităţilor specifice de marketing din cadrul organizaţiei, precum și abilități de elaborare a materialelor promoţionale.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Preînscrierea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 se face online accesând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222222"/>
            <w:sz w:val="24"/>
            <w:szCs w:val="24"/>
            <w:rtl w:val="0"/>
          </w:rPr>
          <w:t xml:space="preserve"> </w:t>
        </w:r>
      </w:hyperlink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u w:val="single"/>
            <w:rtl w:val="0"/>
          </w:rPr>
          <w:t xml:space="preserve">acest link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432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Pentru s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pecializarea marketing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, candidații sunt admiși în baza unui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 concurs de dosare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, pe baza notei la proba scrisă de limba și literatura româna a examenului de bacalaureat (50%) și a notei la una dintre disciplinele examenului de bacalaureat: economie, matematică, sociologie, psihologie, filosofie, istorie, geografie, informatică sau logică și argumentare, fizică, chimie etc. (50%).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432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În oferta educațională a programului se regăsesc și următoarele discipline: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222222"/>
          <w:sz w:val="24"/>
          <w:szCs w:val="24"/>
          <w:rtl w:val="0"/>
        </w:rPr>
        <w:t xml:space="preserve">Economia întreprinderii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222222"/>
          <w:sz w:val="24"/>
          <w:szCs w:val="24"/>
          <w:rtl w:val="0"/>
        </w:rPr>
        <w:t xml:space="preserve">Marketing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222222"/>
          <w:sz w:val="24"/>
          <w:szCs w:val="24"/>
          <w:rtl w:val="0"/>
        </w:rPr>
        <w:t xml:space="preserve">Baze de date în marketing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222222"/>
          <w:sz w:val="24"/>
          <w:szCs w:val="24"/>
          <w:rtl w:val="0"/>
        </w:rPr>
        <w:t xml:space="preserve">Cercetări de marketing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222222"/>
          <w:sz w:val="24"/>
          <w:szCs w:val="24"/>
          <w:rtl w:val="0"/>
        </w:rPr>
        <w:t xml:space="preserve">Marketingul micilor afaceri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222222"/>
          <w:sz w:val="24"/>
          <w:szCs w:val="24"/>
          <w:rtl w:val="0"/>
        </w:rPr>
        <w:t xml:space="preserve">Tehnici promoționale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222222"/>
          <w:sz w:val="24"/>
          <w:szCs w:val="24"/>
          <w:rtl w:val="0"/>
        </w:rPr>
        <w:t xml:space="preserve">Cybermarketing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222222"/>
          <w:sz w:val="24"/>
          <w:szCs w:val="24"/>
          <w:rtl w:val="0"/>
        </w:rPr>
        <w:t xml:space="preserve">Marketing internaţional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222222"/>
          <w:sz w:val="24"/>
          <w:szCs w:val="24"/>
          <w:rtl w:val="0"/>
        </w:rPr>
        <w:t xml:space="preserve">Business to business marketing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222222"/>
          <w:sz w:val="24"/>
          <w:szCs w:val="24"/>
          <w:rtl w:val="0"/>
        </w:rPr>
        <w:t xml:space="preserve">Marketing direct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432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Mai multe detalii despre admiterea la Facultatea de Administrație și Afaceri a Universității din București pot fi accesate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222222"/>
            <w:sz w:val="24"/>
            <w:szCs w:val="24"/>
            <w:rtl w:val="0"/>
          </w:rPr>
          <w:t xml:space="preserve"> </w:t>
        </w:r>
      </w:hyperlink>
      <w:hyperlink r:id="rId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u w:val="single"/>
            <w:rtl w:val="0"/>
          </w:rPr>
          <w:t xml:space="preserve">aici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faa.ro/" TargetMode="External"/><Relationship Id="rId5" Type="http://schemas.openxmlformats.org/officeDocument/2006/relationships/styles" Target="styles.xml"/><Relationship Id="rId6" Type="http://schemas.openxmlformats.org/officeDocument/2006/relationships/hyperlink" Target="https://forms.gle/ZKk6VSU1zj3491Hx5" TargetMode="External"/><Relationship Id="rId7" Type="http://schemas.openxmlformats.org/officeDocument/2006/relationships/hyperlink" Target="https://forms.gle/ZKk6VSU1zj3491Hx5" TargetMode="External"/><Relationship Id="rId8" Type="http://schemas.openxmlformats.org/officeDocument/2006/relationships/hyperlink" Target="https://faa.r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